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5CAD" w14:textId="5BC7B6FB"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AC6796">
        <w:rPr>
          <w:rFonts w:ascii="Arial" w:eastAsia="Times New Roman" w:hAnsi="Arial" w:cs="Arial"/>
          <w:b/>
          <w:sz w:val="20"/>
          <w:szCs w:val="20"/>
          <w:lang w:eastAsia="fr-FR"/>
        </w:rPr>
        <w:t>1</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48FBCD87"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03DCD574" w14:textId="66EBB89B"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Description des opérations réalisées sur les données</w:t>
            </w:r>
            <w:r w:rsidRPr="00AC6796">
              <w:rPr>
                <w:rStyle w:val="Appelnotedebasdep"/>
                <w:rFonts w:ascii="Arial" w:eastAsia="Times New Roman" w:hAnsi="Arial" w:cs="Arial"/>
                <w:sz w:val="20"/>
                <w:szCs w:val="20"/>
                <w:lang w:eastAsia="fr-FR"/>
              </w:rPr>
              <w:footnoteReference w:id="1"/>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Enregistrement des données des salariés de l’ADEME participant aux sessions de formation</w:t>
            </w:r>
          </w:p>
        </w:tc>
      </w:tr>
      <w:tr w:rsidR="00F423DB" w:rsidRPr="00F423DB" w14:paraId="0C924193" w14:textId="77777777" w:rsidTr="007E730D">
        <w:tc>
          <w:tcPr>
            <w:tcW w:w="5000" w:type="pct"/>
          </w:tcPr>
          <w:p w14:paraId="1457EFAB" w14:textId="3CFF5D9A" w:rsidR="00F423DB" w:rsidRPr="00AC6796" w:rsidRDefault="00F423DB" w:rsidP="00E500F9">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Finalité(s) du traitement</w:t>
            </w:r>
            <w:r w:rsidRPr="00AC6796">
              <w:rPr>
                <w:rStyle w:val="Appelnotedebasdep"/>
                <w:rFonts w:ascii="Arial" w:eastAsia="Times New Roman" w:hAnsi="Arial" w:cs="Arial"/>
                <w:sz w:val="20"/>
                <w:szCs w:val="20"/>
                <w:lang w:eastAsia="fr-FR"/>
              </w:rPr>
              <w:footnoteReference w:id="2"/>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Pour organiser les sessions de formation</w:t>
            </w:r>
          </w:p>
        </w:tc>
      </w:tr>
      <w:tr w:rsidR="00F423DB" w:rsidRPr="00F423DB" w14:paraId="629B4D95" w14:textId="77777777" w:rsidTr="007E730D">
        <w:tc>
          <w:tcPr>
            <w:tcW w:w="5000" w:type="pct"/>
          </w:tcPr>
          <w:p w14:paraId="773FB8A3" w14:textId="692260E2"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Type de données à caractère personnel traitées</w:t>
            </w:r>
            <w:r w:rsidRPr="00AC6796">
              <w:rPr>
                <w:rStyle w:val="Appelnotedebasdep"/>
                <w:rFonts w:ascii="Arial" w:eastAsia="Times New Roman" w:hAnsi="Arial" w:cs="Arial"/>
                <w:sz w:val="20"/>
                <w:szCs w:val="20"/>
                <w:lang w:eastAsia="fr-FR"/>
              </w:rPr>
              <w:footnoteReference w:id="3"/>
            </w:r>
            <w:r w:rsidRPr="00AC6796">
              <w:rPr>
                <w:rFonts w:ascii="Arial" w:eastAsia="Times New Roman" w:hAnsi="Arial" w:cs="Arial"/>
                <w:sz w:val="20"/>
                <w:szCs w:val="20"/>
                <w:lang w:eastAsia="fr-FR"/>
              </w:rPr>
              <w:t> :</w:t>
            </w:r>
            <w:r w:rsidR="00AC6796" w:rsidRPr="00AC6796">
              <w:rPr>
                <w:rFonts w:ascii="Arial" w:eastAsia="Times New Roman" w:hAnsi="Arial" w:cs="Arial"/>
                <w:sz w:val="20"/>
                <w:szCs w:val="20"/>
                <w:lang w:eastAsia="fr-FR"/>
              </w:rPr>
              <w:t xml:space="preserve"> Nom, prénom, mail et téléphone des salariés ADEME</w:t>
            </w:r>
          </w:p>
        </w:tc>
      </w:tr>
      <w:tr w:rsidR="00F423DB" w:rsidRPr="00F423DB" w14:paraId="342054F1" w14:textId="77777777" w:rsidTr="007E730D">
        <w:tc>
          <w:tcPr>
            <w:tcW w:w="5000" w:type="pct"/>
          </w:tcPr>
          <w:p w14:paraId="7AFC3D71" w14:textId="6E23A94A"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Catégories de personnes concernées</w:t>
            </w:r>
            <w:r w:rsidRPr="00AC6796">
              <w:rPr>
                <w:rStyle w:val="Appelnotedebasdep"/>
                <w:rFonts w:ascii="Arial" w:eastAsia="Times New Roman" w:hAnsi="Arial" w:cs="Arial"/>
                <w:sz w:val="20"/>
                <w:szCs w:val="20"/>
                <w:lang w:eastAsia="fr-FR"/>
              </w:rPr>
              <w:footnoteReference w:id="4"/>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Salariés ADEME</w:t>
            </w:r>
          </w:p>
          <w:p w14:paraId="39CE22F8" w14:textId="77777777" w:rsidR="00F423DB" w:rsidRPr="00AC6796" w:rsidRDefault="00F423DB" w:rsidP="00F423DB">
            <w:pPr>
              <w:shd w:val="clear" w:color="auto" w:fill="FFFFFF"/>
              <w:spacing w:after="165"/>
              <w:rPr>
                <w:rFonts w:ascii="Arial" w:eastAsia="Times New Roman" w:hAnsi="Arial" w:cs="Arial"/>
                <w:sz w:val="20"/>
                <w:szCs w:val="20"/>
                <w:lang w:eastAsia="fr-FR"/>
              </w:rPr>
            </w:pPr>
          </w:p>
        </w:tc>
      </w:tr>
      <w:tr w:rsidR="00F423DB" w:rsidRPr="00F423DB" w14:paraId="386930F0" w14:textId="77777777" w:rsidTr="007E730D">
        <w:tc>
          <w:tcPr>
            <w:tcW w:w="5000" w:type="pct"/>
          </w:tcPr>
          <w:p w14:paraId="57677B04" w14:textId="77777777"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Autres précisions ou interdictions</w:t>
            </w:r>
            <w:r w:rsidRPr="00AC6796">
              <w:rPr>
                <w:rStyle w:val="Appelnotedebasdep"/>
                <w:rFonts w:ascii="Arial" w:eastAsia="Times New Roman" w:hAnsi="Arial" w:cs="Arial"/>
                <w:sz w:val="20"/>
                <w:szCs w:val="20"/>
                <w:lang w:eastAsia="fr-FR"/>
              </w:rPr>
              <w:footnoteReference w:id="5"/>
            </w:r>
            <w:r w:rsidRPr="00AC6796">
              <w:rPr>
                <w:rFonts w:ascii="Arial" w:eastAsia="Times New Roman" w:hAnsi="Arial" w:cs="Arial"/>
                <w:sz w:val="20"/>
                <w:szCs w:val="20"/>
                <w:lang w:eastAsia="fr-FR"/>
              </w:rPr>
              <w:t> :</w:t>
            </w:r>
          </w:p>
          <w:p w14:paraId="37E71DA6" w14:textId="77777777" w:rsidR="00F423DB" w:rsidRPr="00AC6796" w:rsidRDefault="00F423DB" w:rsidP="00F423DB">
            <w:pPr>
              <w:shd w:val="clear" w:color="auto" w:fill="FFFFFF"/>
              <w:spacing w:after="165"/>
              <w:rPr>
                <w:rFonts w:ascii="Arial" w:eastAsia="Times New Roman" w:hAnsi="Arial" w:cs="Arial"/>
                <w:sz w:val="20"/>
                <w:szCs w:val="20"/>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lastRenderedPageBreak/>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808215">
    <w:abstractNumId w:val="11"/>
  </w:num>
  <w:num w:numId="2" w16cid:durableId="256863066">
    <w:abstractNumId w:val="6"/>
  </w:num>
  <w:num w:numId="3" w16cid:durableId="1437678029">
    <w:abstractNumId w:val="10"/>
  </w:num>
  <w:num w:numId="4" w16cid:durableId="761418470">
    <w:abstractNumId w:val="8"/>
  </w:num>
  <w:num w:numId="5" w16cid:durableId="25759583">
    <w:abstractNumId w:val="14"/>
  </w:num>
  <w:num w:numId="6" w16cid:durableId="649674234">
    <w:abstractNumId w:val="16"/>
  </w:num>
  <w:num w:numId="7" w16cid:durableId="1037318106">
    <w:abstractNumId w:val="0"/>
  </w:num>
  <w:num w:numId="8" w16cid:durableId="149643533">
    <w:abstractNumId w:val="5"/>
  </w:num>
  <w:num w:numId="9" w16cid:durableId="840043216">
    <w:abstractNumId w:val="1"/>
  </w:num>
  <w:num w:numId="10" w16cid:durableId="2091466921">
    <w:abstractNumId w:val="17"/>
  </w:num>
  <w:num w:numId="11" w16cid:durableId="561448448">
    <w:abstractNumId w:val="2"/>
  </w:num>
  <w:num w:numId="12" w16cid:durableId="1047529048">
    <w:abstractNumId w:val="12"/>
  </w:num>
  <w:num w:numId="13" w16cid:durableId="1674069130">
    <w:abstractNumId w:val="3"/>
  </w:num>
  <w:num w:numId="14" w16cid:durableId="2079981861">
    <w:abstractNumId w:val="15"/>
  </w:num>
  <w:num w:numId="15" w16cid:durableId="2063283863">
    <w:abstractNumId w:val="9"/>
  </w:num>
  <w:num w:numId="16" w16cid:durableId="1982421396">
    <w:abstractNumId w:val="19"/>
  </w:num>
  <w:num w:numId="17" w16cid:durableId="287593943">
    <w:abstractNumId w:val="18"/>
  </w:num>
  <w:num w:numId="18" w16cid:durableId="733236145">
    <w:abstractNumId w:val="13"/>
  </w:num>
  <w:num w:numId="19" w16cid:durableId="970792613">
    <w:abstractNumId w:val="7"/>
  </w:num>
  <w:num w:numId="20" w16cid:durableId="881862958">
    <w:abstractNumId w:val="4"/>
  </w:num>
  <w:num w:numId="21" w16cid:durableId="16989716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E46EC"/>
    <w:rsid w:val="00137801"/>
    <w:rsid w:val="001443B8"/>
    <w:rsid w:val="001461A6"/>
    <w:rsid w:val="001643EB"/>
    <w:rsid w:val="001D5D33"/>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571AA"/>
    <w:rsid w:val="00561FBE"/>
    <w:rsid w:val="0057316F"/>
    <w:rsid w:val="0059503A"/>
    <w:rsid w:val="00606150"/>
    <w:rsid w:val="0062301B"/>
    <w:rsid w:val="00645039"/>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A37624"/>
    <w:rsid w:val="00A42982"/>
    <w:rsid w:val="00AC6796"/>
    <w:rsid w:val="00AD7835"/>
    <w:rsid w:val="00AF3ED6"/>
    <w:rsid w:val="00B05EB5"/>
    <w:rsid w:val="00B12910"/>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1150</Words>
  <Characters>6331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JEANNETEAU Fabien</cp:lastModifiedBy>
  <cp:revision>5</cp:revision>
  <cp:lastPrinted>2018-08-24T09:28:00Z</cp:lastPrinted>
  <dcterms:created xsi:type="dcterms:W3CDTF">2019-05-15T14:25:00Z</dcterms:created>
  <dcterms:modified xsi:type="dcterms:W3CDTF">2024-03-14T10:51:00Z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ies>
</file>